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9C" w:rsidRDefault="001C6D9C" w:rsidP="001C6D9C">
      <w:pPr>
        <w:bidi/>
        <w:spacing w:line="240" w:lineRule="auto"/>
        <w:rPr>
          <w:rFonts w:cs="B Lotus" w:hint="cs"/>
          <w:b/>
          <w:bCs/>
          <w:sz w:val="20"/>
          <w:szCs w:val="24"/>
          <w:rtl/>
          <w:lang w:bidi="fa-IR"/>
        </w:rPr>
      </w:pPr>
    </w:p>
    <w:p w:rsidR="001C6D9C" w:rsidRPr="00A4114E" w:rsidRDefault="001C6D9C" w:rsidP="001C6D9C">
      <w:pPr>
        <w:bidi/>
        <w:spacing w:line="240" w:lineRule="auto"/>
        <w:rPr>
          <w:rFonts w:cs="B Lotus" w:hint="cs"/>
          <w:b/>
          <w:bCs/>
          <w:sz w:val="20"/>
          <w:szCs w:val="24"/>
          <w:rtl/>
          <w:lang w:bidi="fa-IR"/>
        </w:rPr>
      </w:pPr>
      <w:r w:rsidRPr="00A4114E">
        <w:rPr>
          <w:rFonts w:cs="B Lotus"/>
          <w:b/>
          <w:bCs/>
          <w:sz w:val="20"/>
          <w:szCs w:val="24"/>
          <w:rtl/>
          <w:lang w:bidi="fa-IR"/>
        </w:rPr>
        <w:t>مریم جمالی</w:t>
      </w:r>
      <w:r>
        <w:rPr>
          <w:rStyle w:val="FootnoteReference"/>
          <w:rFonts w:cs="B Lotus"/>
          <w:b/>
          <w:bCs/>
          <w:sz w:val="20"/>
          <w:szCs w:val="24"/>
          <w:rtl/>
          <w:lang w:bidi="fa-IR"/>
        </w:rPr>
        <w:footnoteReference w:id="1"/>
      </w:r>
    </w:p>
    <w:p w:rsidR="001C6D9C" w:rsidRDefault="001C6D9C" w:rsidP="001C6D9C">
      <w:pPr>
        <w:bidi/>
        <w:spacing w:line="240" w:lineRule="auto"/>
        <w:rPr>
          <w:rFonts w:cs="B Lotus" w:hint="cs"/>
          <w:b/>
          <w:bCs/>
          <w:sz w:val="20"/>
          <w:rtl/>
          <w:lang w:bidi="fa-IR"/>
        </w:rPr>
      </w:pPr>
    </w:p>
    <w:p w:rsidR="001C6D9C" w:rsidRPr="00A4114E" w:rsidRDefault="001C6D9C" w:rsidP="004F74C9">
      <w:pPr>
        <w:bidi/>
        <w:spacing w:line="240" w:lineRule="auto"/>
        <w:rPr>
          <w:rFonts w:cs="B Lotus" w:hint="cs"/>
          <w:b/>
          <w:bCs/>
          <w:sz w:val="20"/>
          <w:rtl/>
          <w:lang w:bidi="fa-IR"/>
        </w:rPr>
      </w:pPr>
      <w:r>
        <w:rPr>
          <w:rFonts w:cs="B Lotus" w:hint="cs"/>
          <w:b/>
          <w:bCs/>
          <w:sz w:val="20"/>
          <w:rtl/>
          <w:lang w:bidi="fa-IR"/>
        </w:rPr>
        <w:t xml:space="preserve">تاثير </w:t>
      </w:r>
      <w:r w:rsidRPr="00A4114E">
        <w:rPr>
          <w:rFonts w:cs="B Lotus"/>
          <w:b/>
          <w:bCs/>
          <w:sz w:val="20"/>
          <w:rtl/>
          <w:lang w:bidi="fa-IR"/>
        </w:rPr>
        <w:t xml:space="preserve">نقد قوة </w:t>
      </w:r>
      <w:r w:rsidR="004F74C9">
        <w:rPr>
          <w:rFonts w:cs="B Lotus" w:hint="cs"/>
          <w:b/>
          <w:bCs/>
          <w:sz w:val="20"/>
          <w:rtl/>
          <w:lang w:bidi="fa-IR"/>
        </w:rPr>
        <w:t xml:space="preserve">بر نظريه </w:t>
      </w:r>
      <w:r w:rsidR="004F74C9">
        <w:rPr>
          <w:rFonts w:cs="B Lotus"/>
          <w:b/>
          <w:bCs/>
          <w:sz w:val="20"/>
          <w:rtl/>
          <w:lang w:bidi="fa-IR"/>
        </w:rPr>
        <w:t>فرمالیس</w:t>
      </w:r>
      <w:r w:rsidR="004F74C9">
        <w:rPr>
          <w:rFonts w:cs="B Lotus" w:hint="cs"/>
          <w:b/>
          <w:bCs/>
          <w:sz w:val="20"/>
          <w:rtl/>
          <w:lang w:bidi="fa-IR"/>
        </w:rPr>
        <w:t>م كلمنت گرينبرگ</w:t>
      </w:r>
    </w:p>
    <w:p w:rsidR="001C6D9C" w:rsidRPr="00A4114E" w:rsidRDefault="001C6D9C" w:rsidP="001C6D9C">
      <w:pPr>
        <w:bidi/>
        <w:spacing w:line="240" w:lineRule="auto"/>
        <w:rPr>
          <w:rFonts w:cs="B Lotus" w:hint="cs"/>
          <w:sz w:val="20"/>
          <w:szCs w:val="24"/>
          <w:rtl/>
          <w:lang w:bidi="fa-IR"/>
        </w:rPr>
      </w:pPr>
    </w:p>
    <w:p w:rsidR="001C6D9C" w:rsidRPr="00A4114E" w:rsidRDefault="001C6D9C" w:rsidP="001C6D9C">
      <w:pPr>
        <w:bidi/>
        <w:spacing w:line="240" w:lineRule="auto"/>
        <w:rPr>
          <w:rFonts w:cs="B Lotus" w:hint="cs"/>
          <w:b/>
          <w:bCs/>
          <w:sz w:val="20"/>
          <w:szCs w:val="24"/>
          <w:rtl/>
          <w:lang w:bidi="fa-IR"/>
        </w:rPr>
      </w:pPr>
    </w:p>
    <w:p w:rsidR="001C6D9C" w:rsidRPr="004F74C9" w:rsidRDefault="001C6D9C" w:rsidP="001C6D9C">
      <w:pPr>
        <w:bidi/>
        <w:spacing w:line="240" w:lineRule="auto"/>
        <w:jc w:val="both"/>
        <w:rPr>
          <w:rFonts w:cs="B Lotus"/>
          <w:b/>
          <w:bCs/>
          <w:rtl/>
          <w:lang w:bidi="fa-IR"/>
        </w:rPr>
      </w:pPr>
      <w:r w:rsidRPr="004F74C9">
        <w:rPr>
          <w:rFonts w:cs="B Lotus"/>
          <w:b/>
          <w:bCs/>
          <w:rtl/>
          <w:lang w:bidi="fa-IR"/>
        </w:rPr>
        <w:t>چکیده</w:t>
      </w:r>
    </w:p>
    <w:p w:rsidR="001C6D9C" w:rsidRPr="00A4114E" w:rsidRDefault="001C6D9C" w:rsidP="001C6D9C">
      <w:pPr>
        <w:bidi/>
        <w:spacing w:line="240" w:lineRule="auto"/>
        <w:jc w:val="both"/>
        <w:rPr>
          <w:rFonts w:cs="B Lotus"/>
          <w:sz w:val="20"/>
          <w:szCs w:val="24"/>
          <w:rtl/>
          <w:lang w:bidi="fa-IR"/>
        </w:rPr>
      </w:pPr>
      <w:r w:rsidRPr="00A4114E">
        <w:rPr>
          <w:rFonts w:cs="B Lotus"/>
          <w:sz w:val="20"/>
          <w:szCs w:val="24"/>
          <w:rtl/>
          <w:lang w:bidi="fa-IR"/>
        </w:rPr>
        <w:t>رویکرد فرمالیستی به نقد هنر از منظر نقد قوة حکم کانت از سوی منتقدان قرن بیستم مورد بررسی و ریشه‌یابی بسیار واقع شده است. از جمله</w:t>
      </w:r>
      <w:r w:rsidRPr="00A4114E">
        <w:rPr>
          <w:rFonts w:cs="B Lotus"/>
          <w:color w:val="000000"/>
          <w:sz w:val="20"/>
          <w:szCs w:val="24"/>
          <w:rtl/>
          <w:lang w:bidi="fa-IR"/>
        </w:rPr>
        <w:t xml:space="preserve"> کلمنت</w:t>
      </w:r>
      <w:r w:rsidRPr="00A4114E">
        <w:rPr>
          <w:rFonts w:cs="B Lotus"/>
          <w:sz w:val="20"/>
          <w:szCs w:val="24"/>
          <w:rtl/>
          <w:lang w:bidi="fa-IR"/>
        </w:rPr>
        <w:t xml:space="preserve"> گرینبرگ </w:t>
      </w:r>
      <w:r w:rsidRPr="00A4114E">
        <w:rPr>
          <w:rFonts w:cs="B Lotus"/>
          <w:color w:val="000000"/>
          <w:sz w:val="20"/>
          <w:szCs w:val="24"/>
          <w:rtl/>
          <w:lang w:bidi="fa-IR"/>
        </w:rPr>
        <w:t xml:space="preserve">از مهمترین نظریه‌پردازان </w:t>
      </w:r>
      <w:r w:rsidRPr="00A4114E">
        <w:rPr>
          <w:rFonts w:cs="B Lotus"/>
          <w:sz w:val="20"/>
          <w:szCs w:val="24"/>
          <w:rtl/>
          <w:lang w:bidi="fa-IR"/>
        </w:rPr>
        <w:t>قرن بیستم در جای‌جای نوشته‌های خود کوشیده است ثابت کند که کانت نخستین مدرنیست در گسترة فلسفة هنر محسوب می‌شود. از این</w:t>
      </w:r>
      <w:r w:rsidRPr="00A4114E">
        <w:rPr>
          <w:rFonts w:cs="B Lotus" w:hint="cs"/>
          <w:sz w:val="20"/>
          <w:szCs w:val="24"/>
          <w:rtl/>
          <w:lang w:bidi="fa-IR"/>
        </w:rPr>
        <w:t>‌</w:t>
      </w:r>
      <w:r w:rsidRPr="00A4114E">
        <w:rPr>
          <w:rFonts w:cs="B Lotus"/>
          <w:sz w:val="20"/>
          <w:szCs w:val="24"/>
          <w:rtl/>
          <w:lang w:bidi="fa-IR"/>
        </w:rPr>
        <w:t xml:space="preserve">رو گرینبرگ </w:t>
      </w:r>
      <w:r w:rsidRPr="00A4114E">
        <w:rPr>
          <w:rFonts w:cs="B Lotus" w:hint="cs"/>
          <w:sz w:val="20"/>
          <w:szCs w:val="24"/>
          <w:rtl/>
          <w:lang w:bidi="fa-IR"/>
        </w:rPr>
        <w:t xml:space="preserve">همزمان هم </w:t>
      </w:r>
      <w:r w:rsidRPr="00A4114E">
        <w:rPr>
          <w:rFonts w:cs="B Lotus"/>
          <w:sz w:val="20"/>
          <w:szCs w:val="24"/>
          <w:rtl/>
          <w:lang w:bidi="fa-IR"/>
        </w:rPr>
        <w:t xml:space="preserve">مدرنیسم و </w:t>
      </w:r>
      <w:r w:rsidRPr="00A4114E">
        <w:rPr>
          <w:rFonts w:cs="B Lotus" w:hint="cs"/>
          <w:sz w:val="20"/>
          <w:szCs w:val="24"/>
          <w:rtl/>
          <w:lang w:bidi="fa-IR"/>
        </w:rPr>
        <w:t xml:space="preserve">هم </w:t>
      </w:r>
      <w:r w:rsidRPr="00A4114E">
        <w:rPr>
          <w:rFonts w:cs="B Lotus"/>
          <w:sz w:val="20"/>
          <w:szCs w:val="24"/>
          <w:rtl/>
          <w:lang w:bidi="fa-IR"/>
        </w:rPr>
        <w:t>فرمالیسم در هنر را کانت‌محور قلمداد می‌کند. در این نوشته کوشیده‌ایم محورهای اصلی بحث وی را با تکیه بر مؤلفه‌های نقد قوه حکم از جمله اهمیت چهار دقیقه‌ واکاوی نموده و مناسبت آنها با فرم و فرمالیسم را ایضاح بخشیم. در عین حال استناد او به ایدة فرم در زیباشناسی کانت به تعبیر رودولف گاشه و بندتو کروچه تشریح گردیده است. نکتة حا</w:t>
      </w:r>
      <w:r w:rsidRPr="00A4114E">
        <w:rPr>
          <w:rFonts w:cs="B Lotus" w:hint="cs"/>
          <w:sz w:val="20"/>
          <w:szCs w:val="24"/>
          <w:rtl/>
          <w:lang w:bidi="fa-IR"/>
        </w:rPr>
        <w:t>ی</w:t>
      </w:r>
      <w:r w:rsidRPr="00A4114E">
        <w:rPr>
          <w:rFonts w:cs="B Lotus"/>
          <w:sz w:val="20"/>
          <w:szCs w:val="24"/>
          <w:rtl/>
          <w:lang w:bidi="fa-IR"/>
        </w:rPr>
        <w:t xml:space="preserve">ز اهمیت اینکه توجه گرینبرگ به فرازهایی از </w:t>
      </w:r>
      <w:r w:rsidRPr="00A4114E">
        <w:rPr>
          <w:rFonts w:cs="B Lotus"/>
          <w:i/>
          <w:iCs/>
          <w:sz w:val="20"/>
          <w:szCs w:val="24"/>
          <w:rtl/>
          <w:lang w:bidi="fa-IR"/>
        </w:rPr>
        <w:t>نقد خرد ناب</w:t>
      </w:r>
      <w:r w:rsidRPr="00A4114E">
        <w:rPr>
          <w:rFonts w:cs="B Lotus"/>
          <w:sz w:val="20"/>
          <w:szCs w:val="24"/>
          <w:rtl/>
          <w:lang w:bidi="fa-IR"/>
        </w:rPr>
        <w:t xml:space="preserve"> (</w:t>
      </w:r>
      <w:r w:rsidRPr="00A4114E">
        <w:rPr>
          <w:rFonts w:cs="B Lotus"/>
          <w:i/>
          <w:iCs/>
          <w:sz w:val="20"/>
          <w:szCs w:val="24"/>
          <w:rtl/>
          <w:lang w:bidi="fa-IR"/>
        </w:rPr>
        <w:t>سنجش خرد ناب</w:t>
      </w:r>
      <w:r w:rsidRPr="00A4114E">
        <w:rPr>
          <w:rFonts w:cs="B Lotus"/>
          <w:sz w:val="20"/>
          <w:szCs w:val="24"/>
          <w:rtl/>
          <w:lang w:bidi="fa-IR"/>
        </w:rPr>
        <w:t>) در اندیشة کانت به</w:t>
      </w:r>
      <w:r w:rsidRPr="00A4114E">
        <w:rPr>
          <w:rFonts w:cs="B Lotus" w:hint="cs"/>
          <w:sz w:val="20"/>
          <w:szCs w:val="24"/>
          <w:rtl/>
          <w:lang w:bidi="fa-IR"/>
        </w:rPr>
        <w:t>‌</w:t>
      </w:r>
      <w:r w:rsidRPr="00A4114E">
        <w:rPr>
          <w:rFonts w:cs="B Lotus"/>
          <w:sz w:val="20"/>
          <w:szCs w:val="24"/>
          <w:rtl/>
          <w:lang w:bidi="fa-IR"/>
        </w:rPr>
        <w:t>منظور روشن شدن آموزه‌های خودپایندگی هنر</w:t>
      </w:r>
      <w:r w:rsidRPr="00A4114E">
        <w:rPr>
          <w:rFonts w:cs="B Lotus"/>
          <w:b/>
          <w:bCs/>
          <w:sz w:val="20"/>
          <w:szCs w:val="24"/>
          <w:rtl/>
          <w:lang w:bidi="fa-IR"/>
        </w:rPr>
        <w:t xml:space="preserve"> </w:t>
      </w:r>
      <w:r w:rsidRPr="00A4114E">
        <w:rPr>
          <w:rFonts w:cs="B Lotus"/>
          <w:sz w:val="20"/>
          <w:szCs w:val="24"/>
          <w:rtl/>
          <w:lang w:bidi="fa-IR"/>
        </w:rPr>
        <w:t>و</w:t>
      </w:r>
      <w:r w:rsidRPr="00A4114E">
        <w:rPr>
          <w:rFonts w:cs="B Lotus"/>
          <w:b/>
          <w:bCs/>
          <w:sz w:val="20"/>
          <w:szCs w:val="24"/>
          <w:rtl/>
          <w:lang w:bidi="fa-IR"/>
        </w:rPr>
        <w:t xml:space="preserve"> </w:t>
      </w:r>
      <w:r w:rsidRPr="00A4114E">
        <w:rPr>
          <w:rFonts w:cs="B Lotus"/>
          <w:sz w:val="20"/>
          <w:szCs w:val="24"/>
          <w:rtl/>
          <w:lang w:bidi="fa-IR"/>
        </w:rPr>
        <w:t xml:space="preserve">انتقاد از خود، به‌‌عنوان مهمترین مؤلفه‌ها‌ی مدرنیسم مورد تحلیل و بررسی واقع شده است. در این </w:t>
      </w:r>
      <w:r w:rsidRPr="00A4114E">
        <w:rPr>
          <w:rFonts w:cs="B Lotus" w:hint="cs"/>
          <w:sz w:val="20"/>
          <w:szCs w:val="24"/>
          <w:rtl/>
          <w:lang w:bidi="fa-IR"/>
        </w:rPr>
        <w:t xml:space="preserve">زمینه </w:t>
      </w:r>
      <w:r w:rsidRPr="00A4114E">
        <w:rPr>
          <w:rFonts w:cs="B Lotus"/>
          <w:sz w:val="20"/>
          <w:szCs w:val="24"/>
          <w:rtl/>
          <w:lang w:bidi="fa-IR"/>
        </w:rPr>
        <w:t xml:space="preserve">اهمیت </w:t>
      </w:r>
      <w:r w:rsidRPr="00A4114E">
        <w:rPr>
          <w:rFonts w:cs="B Lotus"/>
          <w:i/>
          <w:iCs/>
          <w:sz w:val="20"/>
          <w:szCs w:val="24"/>
          <w:rtl/>
          <w:lang w:bidi="fa-IR"/>
        </w:rPr>
        <w:t>نقد قوة حکم</w:t>
      </w:r>
      <w:r w:rsidRPr="00A4114E">
        <w:rPr>
          <w:rFonts w:cs="B Lotus"/>
          <w:sz w:val="20"/>
          <w:szCs w:val="24"/>
          <w:rtl/>
          <w:lang w:bidi="fa-IR"/>
        </w:rPr>
        <w:t xml:space="preserve"> در تحلیل محور</w:t>
      </w:r>
      <w:r w:rsidRPr="00A4114E">
        <w:rPr>
          <w:rFonts w:cs="B Lotus"/>
          <w:color w:val="000000"/>
          <w:sz w:val="20"/>
          <w:szCs w:val="24"/>
          <w:rtl/>
          <w:lang w:bidi="fa-IR"/>
        </w:rPr>
        <w:t xml:space="preserve">های هنر قرن بیستم و </w:t>
      </w:r>
      <w:r w:rsidRPr="00A4114E">
        <w:rPr>
          <w:rFonts w:cs="B Lotus"/>
          <w:sz w:val="20"/>
          <w:szCs w:val="24"/>
          <w:rtl/>
          <w:lang w:bidi="fa-IR"/>
        </w:rPr>
        <w:t>شکل‌گیری فرمالیسم، و سرانجام رهیافت‌های هنرمندان مدرنیست با توجه به این‌رویکردها به روایت گرینبرگ تبیین شده است.</w:t>
      </w:r>
    </w:p>
    <w:p w:rsidR="001C6D9C" w:rsidRPr="00A4114E" w:rsidRDefault="001C6D9C" w:rsidP="001C6D9C">
      <w:pPr>
        <w:bidi/>
        <w:spacing w:line="240" w:lineRule="auto"/>
        <w:jc w:val="both"/>
        <w:rPr>
          <w:rFonts w:cs="B Lotus"/>
          <w:sz w:val="20"/>
          <w:szCs w:val="24"/>
          <w:rtl/>
          <w:lang w:bidi="fa-IR"/>
        </w:rPr>
      </w:pPr>
    </w:p>
    <w:p w:rsidR="001C6D9C" w:rsidRPr="00A4114E" w:rsidRDefault="001C6D9C" w:rsidP="001C6D9C">
      <w:pPr>
        <w:bidi/>
        <w:spacing w:line="240" w:lineRule="auto"/>
        <w:jc w:val="both"/>
        <w:rPr>
          <w:rFonts w:cs="B Lotus"/>
          <w:sz w:val="20"/>
          <w:szCs w:val="24"/>
          <w:rtl/>
          <w:lang w:bidi="fa-IR"/>
        </w:rPr>
      </w:pPr>
      <w:r w:rsidRPr="004F74C9">
        <w:rPr>
          <w:rFonts w:cs="B Lotus"/>
          <w:rtl/>
          <w:lang w:bidi="fa-IR"/>
        </w:rPr>
        <w:t>واژه‌ها</w:t>
      </w:r>
      <w:r w:rsidRPr="004F74C9">
        <w:rPr>
          <w:rFonts w:cs="B Lotus" w:hint="cs"/>
          <w:rtl/>
          <w:lang w:bidi="fa-IR"/>
        </w:rPr>
        <w:t>ی کلیدی</w:t>
      </w:r>
      <w:r w:rsidRPr="004F74C9">
        <w:rPr>
          <w:rFonts w:cs="B Lotus"/>
          <w:rtl/>
          <w:lang w:bidi="fa-IR"/>
        </w:rPr>
        <w:t>:</w:t>
      </w:r>
      <w:r w:rsidRPr="00A4114E">
        <w:rPr>
          <w:rFonts w:cs="B Lotus"/>
          <w:sz w:val="20"/>
          <w:szCs w:val="24"/>
          <w:rtl/>
          <w:lang w:bidi="fa-IR"/>
        </w:rPr>
        <w:t xml:space="preserve"> فرم، فرمالیسم، نقد هنری، حکم زیباشناختی، کانت، گرینبرگ</w:t>
      </w:r>
      <w:r w:rsidRPr="00A4114E">
        <w:rPr>
          <w:rFonts w:cs="B Lotus" w:hint="cs"/>
          <w:sz w:val="20"/>
          <w:szCs w:val="24"/>
          <w:rtl/>
          <w:lang w:bidi="fa-IR"/>
        </w:rPr>
        <w:t>.</w:t>
      </w:r>
      <w:r w:rsidRPr="00A4114E">
        <w:rPr>
          <w:rFonts w:cs="B Lotus"/>
          <w:sz w:val="20"/>
          <w:szCs w:val="24"/>
          <w:rtl/>
          <w:lang w:bidi="fa-IR"/>
        </w:rPr>
        <w:t xml:space="preserve"> </w:t>
      </w:r>
    </w:p>
    <w:p w:rsidR="001C6D9C" w:rsidRPr="00A4114E" w:rsidRDefault="001C6D9C" w:rsidP="001C6D9C">
      <w:pPr>
        <w:bidi/>
        <w:spacing w:line="240" w:lineRule="auto"/>
        <w:jc w:val="both"/>
        <w:rPr>
          <w:rFonts w:cs="B Lotus"/>
          <w:sz w:val="20"/>
          <w:szCs w:val="24"/>
          <w:rtl/>
          <w:lang w:bidi="fa-IR"/>
        </w:rPr>
      </w:pPr>
    </w:p>
    <w:p w:rsidR="00D12F21" w:rsidRDefault="00D12F21" w:rsidP="001C6D9C">
      <w:pPr>
        <w:bidi/>
        <w:rPr>
          <w:rFonts w:hint="cs"/>
          <w:rtl/>
          <w:lang w:bidi="fa-IR"/>
        </w:rPr>
      </w:pPr>
    </w:p>
    <w:sectPr w:rsidR="00D12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ED" w:rsidRDefault="006817ED" w:rsidP="001C6D9C">
      <w:pPr>
        <w:spacing w:line="240" w:lineRule="auto"/>
      </w:pPr>
      <w:r>
        <w:separator/>
      </w:r>
    </w:p>
  </w:endnote>
  <w:endnote w:type="continuationSeparator" w:id="0">
    <w:p w:rsidR="006817ED" w:rsidRDefault="006817ED" w:rsidP="001C6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ED" w:rsidRDefault="006817ED" w:rsidP="001C6D9C">
      <w:pPr>
        <w:spacing w:line="240" w:lineRule="auto"/>
      </w:pPr>
      <w:r>
        <w:separator/>
      </w:r>
    </w:p>
  </w:footnote>
  <w:footnote w:type="continuationSeparator" w:id="0">
    <w:p w:rsidR="006817ED" w:rsidRDefault="006817ED" w:rsidP="001C6D9C">
      <w:pPr>
        <w:spacing w:line="240" w:lineRule="auto"/>
      </w:pPr>
      <w:r>
        <w:continuationSeparator/>
      </w:r>
    </w:p>
  </w:footnote>
  <w:footnote w:id="1">
    <w:p w:rsidR="001C6D9C" w:rsidRPr="00A4114E" w:rsidRDefault="001C6D9C" w:rsidP="004F74C9">
      <w:pPr>
        <w:bidi/>
        <w:spacing w:line="240" w:lineRule="auto"/>
        <w:rPr>
          <w:rFonts w:cs="B Lotus"/>
          <w:b/>
          <w:bCs/>
          <w:sz w:val="20"/>
          <w:szCs w:val="20"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4F74C9">
        <w:rPr>
          <w:rFonts w:cs="B Lotus" w:hint="cs"/>
          <w:sz w:val="20"/>
          <w:szCs w:val="24"/>
          <w:rtl/>
          <w:lang w:bidi="fa-IR"/>
        </w:rPr>
        <w:t>دانش آموخته دكتري فلسفه هنر ، دانشكده الهيات و فلسفه دانشگاه آزاد اسلامي ، واحد علوم تحقيقات تهران ، استان تهران ، شهر تهران (</w:t>
      </w:r>
      <w:r w:rsidR="004F74C9">
        <w:rPr>
          <w:rFonts w:cs="B Lotus"/>
          <w:sz w:val="20"/>
          <w:szCs w:val="24"/>
          <w:lang w:bidi="fa-IR"/>
        </w:rPr>
        <w:t>email: mj.</w:t>
      </w:r>
      <w:r w:rsidR="003F5D37">
        <w:rPr>
          <w:rFonts w:cs="B Lotus"/>
          <w:sz w:val="20"/>
          <w:szCs w:val="24"/>
          <w:lang w:bidi="fa-IR"/>
        </w:rPr>
        <w:t>amrabadi@gmail.com</w:t>
      </w:r>
      <w:r w:rsidR="003F5D37">
        <w:rPr>
          <w:rFonts w:cs="B Lotus" w:hint="cs"/>
          <w:sz w:val="20"/>
          <w:szCs w:val="24"/>
          <w:rtl/>
          <w:lang w:bidi="fa-IR"/>
        </w:rPr>
        <w:t>)</w:t>
      </w:r>
      <w:bookmarkStart w:id="0" w:name="_GoBack"/>
      <w:bookmarkEnd w:id="0"/>
    </w:p>
    <w:p w:rsidR="001C6D9C" w:rsidRDefault="001C6D9C" w:rsidP="001C6D9C">
      <w:pPr>
        <w:pStyle w:val="FootnoteText"/>
        <w:bidi/>
        <w:rPr>
          <w:rFonts w:hint="cs"/>
          <w:rtl/>
          <w:lang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9C"/>
    <w:rsid w:val="001C6D9C"/>
    <w:rsid w:val="003F5D37"/>
    <w:rsid w:val="004F74C9"/>
    <w:rsid w:val="006817ED"/>
    <w:rsid w:val="00D1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9C"/>
    <w:pPr>
      <w:spacing w:after="0" w:line="360" w:lineRule="auto"/>
    </w:pPr>
    <w:rPr>
      <w:rFonts w:ascii="Times New Roman" w:eastAsia="Calibri" w:hAnsi="Times New Roman" w:cs="B Yagu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6D9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6D9C"/>
    <w:rPr>
      <w:rFonts w:ascii="Times New Roman" w:eastAsia="Calibri" w:hAnsi="Times New Roman" w:cs="B Yagu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6D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9C"/>
    <w:pPr>
      <w:spacing w:after="0" w:line="360" w:lineRule="auto"/>
    </w:pPr>
    <w:rPr>
      <w:rFonts w:ascii="Times New Roman" w:eastAsia="Calibri" w:hAnsi="Times New Roman" w:cs="B Yagu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6D9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6D9C"/>
    <w:rPr>
      <w:rFonts w:ascii="Times New Roman" w:eastAsia="Calibri" w:hAnsi="Times New Roman" w:cs="B Yagu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6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1ECF-8039-472F-BA6C-A10D62D5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Hadmin</cp:lastModifiedBy>
  <cp:revision>1</cp:revision>
  <dcterms:created xsi:type="dcterms:W3CDTF">2014-07-08T06:35:00Z</dcterms:created>
  <dcterms:modified xsi:type="dcterms:W3CDTF">2014-07-08T06:39:00Z</dcterms:modified>
</cp:coreProperties>
</file>