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A3" w:rsidRDefault="00361BA3" w:rsidP="00B56A3F">
      <w:pPr>
        <w:bidi/>
        <w:spacing w:after="0" w:line="240" w:lineRule="auto"/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</w:pPr>
    </w:p>
    <w:p w:rsidR="00361BA3" w:rsidRPr="00CC7C20" w:rsidRDefault="00361BA3" w:rsidP="00361BA3">
      <w:pPr>
        <w:bidi/>
        <w:spacing w:after="0" w:line="240" w:lineRule="auto"/>
        <w:rPr>
          <w:rFonts w:ascii="Times New Roman" w:hAnsi="Times New Roman" w:cs="B Lotus"/>
          <w:b/>
          <w:bCs/>
          <w:sz w:val="32"/>
          <w:szCs w:val="32"/>
          <w:lang w:bidi="fa-IR"/>
        </w:rPr>
      </w:pPr>
      <w:r w:rsidRPr="00CC7C20"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  <w:t>محمدرضا مریدی</w:t>
      </w:r>
      <w:r w:rsidRPr="00CC7C20">
        <w:rPr>
          <w:rStyle w:val="FootnoteReference"/>
          <w:rFonts w:ascii="Times New Roman" w:hAnsi="Times New Roman" w:cs="B Lotus"/>
          <w:b/>
          <w:bCs/>
          <w:sz w:val="32"/>
          <w:szCs w:val="32"/>
          <w:rtl/>
          <w:lang w:bidi="fa-IR"/>
        </w:rPr>
        <w:footnoteReference w:id="1"/>
      </w:r>
    </w:p>
    <w:p w:rsidR="00361BA3" w:rsidRDefault="00361BA3" w:rsidP="00361BA3">
      <w:pPr>
        <w:bidi/>
        <w:spacing w:after="0" w:line="240" w:lineRule="auto"/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</w:pPr>
    </w:p>
    <w:p w:rsidR="00B56A3F" w:rsidRPr="000005CF" w:rsidRDefault="00B56A3F" w:rsidP="00361BA3">
      <w:pPr>
        <w:bidi/>
        <w:spacing w:after="0" w:line="240" w:lineRule="auto"/>
        <w:rPr>
          <w:rFonts w:ascii="Times New Roman" w:hAnsi="Times New Roman" w:cs="B Lotus"/>
          <w:b/>
          <w:bCs/>
          <w:sz w:val="32"/>
          <w:szCs w:val="32"/>
          <w:rtl/>
          <w:lang w:bidi="fa-IR"/>
        </w:rPr>
      </w:pPr>
      <w:r w:rsidRPr="000005CF"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  <w:t>پارادایم هنر جهانی:</w:t>
      </w:r>
    </w:p>
    <w:p w:rsidR="00B56A3F" w:rsidRPr="000005CF" w:rsidRDefault="00B56A3F" w:rsidP="00B56A3F">
      <w:pPr>
        <w:bidi/>
        <w:spacing w:after="0" w:line="240" w:lineRule="auto"/>
        <w:rPr>
          <w:rFonts w:ascii="Times New Roman" w:hAnsi="Times New Roman" w:cs="B Lotus"/>
          <w:b/>
          <w:bCs/>
          <w:sz w:val="20"/>
          <w:szCs w:val="24"/>
          <w:rtl/>
          <w:lang w:bidi="fa-IR"/>
        </w:rPr>
      </w:pPr>
      <w:r w:rsidRPr="000005CF"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  <w:t>تحلیل جامعه‌شناختی از چهار مدل تحلیلی هنر جهانی</w:t>
      </w:r>
    </w:p>
    <w:p w:rsidR="00B56A3F" w:rsidRDefault="00B56A3F" w:rsidP="00ED34E1">
      <w:pPr>
        <w:bidi/>
        <w:spacing w:after="0" w:line="240" w:lineRule="auto"/>
        <w:rPr>
          <w:rFonts w:ascii="Times New Roman" w:hAnsi="Times New Roman" w:cs="B Lotus" w:hint="cs"/>
          <w:sz w:val="20"/>
          <w:szCs w:val="24"/>
          <w:rtl/>
          <w:lang w:bidi="fa-IR"/>
        </w:rPr>
      </w:pPr>
    </w:p>
    <w:p w:rsidR="00ED34E1" w:rsidRPr="000005CF" w:rsidRDefault="00ED34E1" w:rsidP="00ED34E1">
      <w:pPr>
        <w:bidi/>
        <w:spacing w:after="0" w:line="240" w:lineRule="auto"/>
        <w:rPr>
          <w:rFonts w:ascii="Times New Roman" w:hAnsi="Times New Roman" w:cs="B Lotus"/>
          <w:sz w:val="20"/>
          <w:szCs w:val="24"/>
          <w:lang w:bidi="fa-IR"/>
        </w:rPr>
      </w:pPr>
      <w:bookmarkStart w:id="0" w:name="_GoBack"/>
      <w:bookmarkEnd w:id="0"/>
    </w:p>
    <w:p w:rsidR="00B56A3F" w:rsidRPr="00ED34E1" w:rsidRDefault="00B56A3F" w:rsidP="00B56A3F">
      <w:pPr>
        <w:bidi/>
        <w:spacing w:after="0" w:line="240" w:lineRule="auto"/>
        <w:jc w:val="both"/>
        <w:rPr>
          <w:rFonts w:ascii="Times New Roman" w:hAnsi="Times New Roman" w:cs="B Lotus"/>
          <w:b/>
          <w:bCs/>
          <w:sz w:val="32"/>
          <w:szCs w:val="32"/>
          <w:rtl/>
          <w:lang w:bidi="fa-IR"/>
        </w:rPr>
      </w:pPr>
      <w:r w:rsidRPr="00ED34E1"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  <w:t>چکیده</w:t>
      </w:r>
    </w:p>
    <w:p w:rsidR="00B56A3F" w:rsidRPr="000005CF" w:rsidRDefault="00B56A3F" w:rsidP="00B56A3F">
      <w:pPr>
        <w:bidi/>
        <w:spacing w:after="0" w:line="240" w:lineRule="auto"/>
        <w:jc w:val="both"/>
        <w:rPr>
          <w:rFonts w:ascii="Times New Roman" w:eastAsia="Times New Roman" w:hAnsi="Times New Roman" w:cs="B Lotus"/>
          <w:sz w:val="20"/>
          <w:szCs w:val="24"/>
          <w:rtl/>
          <w:lang w:bidi="fa-IR"/>
        </w:rPr>
      </w:pP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>جهانی‌شدن به</w:t>
      </w:r>
      <w:r w:rsidRPr="000005CF">
        <w:rPr>
          <w:rFonts w:ascii="Times New Roman" w:eastAsia="Times New Roman" w:hAnsi="Times New Roman" w:cs="B Lotus" w:hint="eastAsia"/>
          <w:sz w:val="20"/>
          <w:szCs w:val="24"/>
          <w:rtl/>
          <w:lang w:bidi="fa-IR"/>
        </w:rPr>
        <w:t>‌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 xml:space="preserve">معنای </w:t>
      </w:r>
      <w:r w:rsidRPr="000005CF">
        <w:rPr>
          <w:rFonts w:ascii="Times New Roman" w:eastAsia="Times New Roman" w:hAnsi="Times New Roman" w:cs="B Lotus"/>
          <w:sz w:val="20"/>
          <w:szCs w:val="24"/>
          <w:rtl/>
          <w:lang w:bidi="fa-IR"/>
        </w:rPr>
        <w:t>فشردگی‌ جهان و افزایش آگاهی از آن مانند یک کل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 xml:space="preserve"> است که در نتیجه </w:t>
      </w:r>
      <w:r w:rsidRPr="000005CF">
        <w:rPr>
          <w:rFonts w:ascii="Times New Roman" w:eastAsia="Times New Roman" w:hAnsi="Times New Roman" w:cs="B Lotus"/>
          <w:sz w:val="20"/>
          <w:szCs w:val="24"/>
          <w:rtl/>
          <w:lang w:bidi="fa-IR"/>
        </w:rPr>
        <w:t>درهم‌تنیدگی و وابستگی متقابل میان نظام‌های سیاسی به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>‌</w:t>
      </w:r>
      <w:r w:rsidRPr="000005CF">
        <w:rPr>
          <w:rFonts w:ascii="Times New Roman" w:eastAsia="Times New Roman" w:hAnsi="Times New Roman" w:cs="B Lotus"/>
          <w:sz w:val="20"/>
          <w:szCs w:val="24"/>
          <w:rtl/>
          <w:lang w:bidi="fa-IR"/>
        </w:rPr>
        <w:t>واسطه تجارت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 xml:space="preserve"> بین</w:t>
      </w:r>
      <w:r w:rsidRPr="000005CF">
        <w:rPr>
          <w:rFonts w:ascii="Times New Roman" w:eastAsia="Times New Roman" w:hAnsi="Times New Roman" w:cs="B Lotus" w:hint="eastAsia"/>
          <w:sz w:val="20"/>
          <w:szCs w:val="24"/>
          <w:rtl/>
          <w:lang w:bidi="fa-IR"/>
        </w:rPr>
        <w:t>‌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>المللی و رسانه</w:t>
      </w:r>
      <w:r w:rsidRPr="000005CF">
        <w:rPr>
          <w:rFonts w:ascii="Times New Roman" w:eastAsia="Times New Roman" w:hAnsi="Times New Roman" w:cs="B Lotus" w:hint="eastAsia"/>
          <w:sz w:val="20"/>
          <w:szCs w:val="24"/>
          <w:rtl/>
          <w:lang w:bidi="fa-IR"/>
        </w:rPr>
        <w:t>‌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>های فراملیتی به‌وجود آمده است</w:t>
      </w:r>
      <w:r w:rsidRPr="000005CF">
        <w:rPr>
          <w:rFonts w:ascii="Times New Roman" w:eastAsia="Times New Roman" w:hAnsi="Times New Roman" w:cs="B Lotus"/>
          <w:sz w:val="20"/>
          <w:szCs w:val="24"/>
          <w:rtl/>
          <w:lang w:bidi="fa-IR"/>
        </w:rPr>
        <w:t>.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 xml:space="preserve"> از سوی دیگر </w:t>
      </w:r>
      <w:r w:rsidRPr="000005CF">
        <w:rPr>
          <w:rFonts w:ascii="Times New Roman" w:eastAsia="Times New Roman" w:hAnsi="Times New Roman" w:cs="B Lotus"/>
          <w:sz w:val="20"/>
          <w:szCs w:val="24"/>
          <w:rtl/>
          <w:lang w:bidi="fa-IR"/>
        </w:rPr>
        <w:t xml:space="preserve">جهانی‌شدن 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 xml:space="preserve">به‌عنوان </w:t>
      </w:r>
      <w:r w:rsidRPr="000005CF">
        <w:rPr>
          <w:rFonts w:ascii="Times New Roman" w:eastAsia="Times New Roman" w:hAnsi="Times New Roman" w:cs="B Lotus"/>
          <w:sz w:val="20"/>
          <w:szCs w:val="24"/>
          <w:rtl/>
          <w:lang w:bidi="fa-IR"/>
        </w:rPr>
        <w:t xml:space="preserve">گسترش الگوی نوسازی فرهنگی به شیوه غربی 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>و بخشی از توسعه مصرف‌گرایی اقتصاد سرمایه</w:t>
      </w:r>
      <w:r w:rsidRPr="000005CF">
        <w:rPr>
          <w:rFonts w:ascii="Times New Roman" w:eastAsia="Times New Roman" w:hAnsi="Times New Roman" w:cs="B Lotus" w:hint="eastAsia"/>
          <w:sz w:val="20"/>
          <w:szCs w:val="24"/>
          <w:rtl/>
          <w:lang w:bidi="fa-IR"/>
        </w:rPr>
        <w:t>‌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>داری جهانی قلمداد می</w:t>
      </w:r>
      <w:r w:rsidRPr="000005CF">
        <w:rPr>
          <w:rFonts w:ascii="Times New Roman" w:eastAsia="Times New Roman" w:hAnsi="Times New Roman" w:cs="B Lotus" w:hint="eastAsia"/>
          <w:sz w:val="20"/>
          <w:szCs w:val="24"/>
          <w:rtl/>
          <w:lang w:bidi="fa-IR"/>
        </w:rPr>
        <w:t>‌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>شود. در تقابل میان «جهانی‌شدن» و «جهانی</w:t>
      </w:r>
      <w:r w:rsidRPr="000005CF">
        <w:rPr>
          <w:rFonts w:ascii="Times New Roman" w:eastAsia="Times New Roman" w:hAnsi="Times New Roman" w:cs="B Lotus" w:hint="eastAsia"/>
          <w:sz w:val="20"/>
          <w:szCs w:val="24"/>
          <w:rtl/>
          <w:lang w:bidi="fa-IR"/>
        </w:rPr>
        <w:t>‌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>سازی»، مفهوم «هنر جهانی» با پرسش</w:t>
      </w:r>
      <w:r w:rsidRPr="000005CF">
        <w:rPr>
          <w:rFonts w:ascii="Times New Roman" w:eastAsia="Times New Roman" w:hAnsi="Times New Roman" w:cs="B Lotus" w:hint="eastAsia"/>
          <w:sz w:val="20"/>
          <w:szCs w:val="24"/>
          <w:rtl/>
          <w:lang w:bidi="fa-IR"/>
        </w:rPr>
        <w:t>‌</w:t>
      </w:r>
      <w:r w:rsidRPr="000005CF">
        <w:rPr>
          <w:rFonts w:ascii="Times New Roman" w:eastAsia="Times New Roman" w:hAnsi="Times New Roman" w:cs="B Lotus" w:hint="cs"/>
          <w:sz w:val="20"/>
          <w:szCs w:val="24"/>
          <w:rtl/>
          <w:lang w:bidi="fa-IR"/>
        </w:rPr>
        <w:t xml:space="preserve">هایی متعدد مواجه است. </w:t>
      </w:r>
      <w:r w:rsidRPr="000005CF">
        <w:rPr>
          <w:rFonts w:ascii="Times New Roman" w:hAnsi="Times New Roman" w:cs="B Lotus" w:hint="cs"/>
          <w:sz w:val="20"/>
          <w:szCs w:val="24"/>
          <w:rtl/>
          <w:lang w:bidi="fa-IR"/>
        </w:rPr>
        <w:t>در مقاله حاضر به این پرسش پرداخته شد که زمینه‌های اجتماعی پیدایش، اوج و افول جریان‌های «هنر جهانی» چه بوده است؟ به این منظور تفاوت‌های چهار جریان هنر جهانی با عنوان «هنر جهان‌شمول» (</w:t>
      </w:r>
      <w:r w:rsidRPr="000005CF">
        <w:rPr>
          <w:rFonts w:ascii="Times New Roman" w:hAnsi="Times New Roman" w:cs="B Lotus"/>
          <w:sz w:val="20"/>
          <w:szCs w:val="24"/>
          <w:lang w:bidi="fa-IR"/>
        </w:rPr>
        <w:t>universal art</w:t>
      </w:r>
      <w:r w:rsidRPr="000005CF">
        <w:rPr>
          <w:rFonts w:ascii="Times New Roman" w:hAnsi="Times New Roman" w:cs="B Lotus" w:hint="cs"/>
          <w:sz w:val="20"/>
          <w:szCs w:val="24"/>
          <w:rtl/>
          <w:lang w:bidi="fa-IR"/>
        </w:rPr>
        <w:t>)، «هنر جهان» یا هنر میراث جهانی بشر (</w:t>
      </w:r>
      <w:r w:rsidRPr="000005CF">
        <w:rPr>
          <w:rFonts w:ascii="Times New Roman" w:hAnsi="Times New Roman" w:cs="B Lotus"/>
          <w:sz w:val="20"/>
          <w:szCs w:val="24"/>
          <w:lang w:bidi="fa-IR"/>
        </w:rPr>
        <w:t>world art</w:t>
      </w:r>
      <w:r w:rsidRPr="000005CF">
        <w:rPr>
          <w:rFonts w:ascii="Times New Roman" w:hAnsi="Times New Roman" w:cs="B Lotus" w:hint="cs"/>
          <w:sz w:val="20"/>
          <w:szCs w:val="24"/>
          <w:rtl/>
          <w:lang w:bidi="fa-IR"/>
        </w:rPr>
        <w:t>)، «هنر بین‌المللی» (</w:t>
      </w:r>
      <w:r w:rsidRPr="000005CF">
        <w:rPr>
          <w:rFonts w:ascii="Times New Roman" w:hAnsi="Times New Roman" w:cs="B Lotus"/>
          <w:sz w:val="20"/>
          <w:szCs w:val="24"/>
          <w:lang w:bidi="fa-IR"/>
        </w:rPr>
        <w:t>international art</w:t>
      </w:r>
      <w:r w:rsidRPr="000005CF">
        <w:rPr>
          <w:rFonts w:ascii="Times New Roman" w:hAnsi="Times New Roman" w:cs="B Lotus"/>
          <w:sz w:val="20"/>
          <w:szCs w:val="24"/>
          <w:rtl/>
          <w:lang w:bidi="fa-IR"/>
        </w:rPr>
        <w:t>)</w:t>
      </w:r>
      <w:r w:rsidRPr="000005CF">
        <w:rPr>
          <w:rFonts w:ascii="Times New Roman" w:hAnsi="Times New Roman" w:cs="B Lotus" w:hint="cs"/>
          <w:sz w:val="20"/>
          <w:szCs w:val="24"/>
          <w:rtl/>
          <w:lang w:bidi="fa-IR"/>
        </w:rPr>
        <w:t xml:space="preserve"> و «هنر جهانی» (</w:t>
      </w:r>
      <w:r w:rsidRPr="000005CF">
        <w:rPr>
          <w:rFonts w:ascii="Times New Roman" w:hAnsi="Times New Roman" w:cs="B Lotus"/>
          <w:sz w:val="20"/>
          <w:szCs w:val="24"/>
          <w:lang w:bidi="fa-IR"/>
        </w:rPr>
        <w:t>global art</w:t>
      </w:r>
      <w:r w:rsidRPr="000005CF">
        <w:rPr>
          <w:rFonts w:ascii="Times New Roman" w:hAnsi="Times New Roman" w:cs="B Lotus" w:hint="cs"/>
          <w:sz w:val="20"/>
          <w:szCs w:val="24"/>
          <w:rtl/>
          <w:lang w:bidi="fa-IR"/>
        </w:rPr>
        <w:t>) مورد مطالعه قرار گرفت. مطالعه روند‌شناسانه پاردایم‌های هنر جهانی نشان داد که این جریان‌ها متأثر از چه زمینه‌های فکری پدید آمدند و چه پیامدهایی برای هنر داشتند. با تمایز میان چهار جریان هنر جهانی به‌درستی می‌توان ابعاد این پدیده را در عصر رسانه‌های فرامرزی مورد ارزیابی قرار داد و امکانات و مقدورات آن را در گستره جهانی‌شدن شناخت. یافته‌های مقاله حاضر بر این امر تأکید دارد که ظهور رسانه‌های جهانی همچون اینترنت عرصه تازه‌ای برای ارائه هنرهای سنتی و بومی در جهان است. این‌بار یک اثر بومی برای جهانی‌شدن بهای گزاف دوری از سنتی بودن و پیوستن به انتزاع‌گرایی مطلق در فرم را نمی‌پردازد، یا زیر سلطه قواعد بازار بین‌المللی هنر که توسط خانه‌های حراج تحمیل می‌شود قرار نمی‌گیرد؛ بلکه می‌تواند با حفظ هویت و یکپارچگی معنایی، خود را به جهان عرضه کند. این فرصت تاریخی تازه‌ای برای جهانی کردن هنر ایران خواهد بود.</w:t>
      </w:r>
    </w:p>
    <w:p w:rsidR="00B56A3F" w:rsidRPr="000005CF" w:rsidRDefault="00B56A3F" w:rsidP="00B56A3F">
      <w:pPr>
        <w:bidi/>
        <w:spacing w:after="0" w:line="240" w:lineRule="auto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B56A3F" w:rsidRPr="000005CF" w:rsidRDefault="00B56A3F" w:rsidP="00B56A3F">
      <w:pPr>
        <w:bidi/>
        <w:spacing w:after="0" w:line="240" w:lineRule="auto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  <w:r w:rsidRPr="00ED34E1"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  <w:t>واژه‌های کلیدی:</w:t>
      </w:r>
      <w:r w:rsidRPr="000005CF">
        <w:rPr>
          <w:rFonts w:ascii="Times New Roman" w:hAnsi="Times New Roman" w:cs="B Lotus" w:hint="cs"/>
          <w:sz w:val="20"/>
          <w:szCs w:val="24"/>
          <w:rtl/>
          <w:lang w:bidi="fa-IR"/>
        </w:rPr>
        <w:t xml:space="preserve"> هنر جهانی، هنر جهان‌شمول، هنر بین‌المللی، جامعه‌شناسی هنر.</w:t>
      </w:r>
    </w:p>
    <w:p w:rsidR="009A5B7E" w:rsidRDefault="009A5B7E" w:rsidP="00B56A3F">
      <w:pPr>
        <w:bidi/>
        <w:rPr>
          <w:rFonts w:hint="cs"/>
          <w:rtl/>
          <w:lang w:bidi="fa-IR"/>
        </w:rPr>
      </w:pPr>
    </w:p>
    <w:sectPr w:rsidR="009A5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1E" w:rsidRDefault="00063A1E" w:rsidP="00361BA3">
      <w:pPr>
        <w:spacing w:after="0" w:line="240" w:lineRule="auto"/>
      </w:pPr>
      <w:r>
        <w:separator/>
      </w:r>
    </w:p>
  </w:endnote>
  <w:endnote w:type="continuationSeparator" w:id="0">
    <w:p w:rsidR="00063A1E" w:rsidRDefault="00063A1E" w:rsidP="0036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1E" w:rsidRDefault="00063A1E" w:rsidP="00361BA3">
      <w:pPr>
        <w:spacing w:after="0" w:line="240" w:lineRule="auto"/>
      </w:pPr>
      <w:r>
        <w:separator/>
      </w:r>
    </w:p>
  </w:footnote>
  <w:footnote w:type="continuationSeparator" w:id="0">
    <w:p w:rsidR="00063A1E" w:rsidRDefault="00063A1E" w:rsidP="00361BA3">
      <w:pPr>
        <w:spacing w:after="0" w:line="240" w:lineRule="auto"/>
      </w:pPr>
      <w:r>
        <w:continuationSeparator/>
      </w:r>
    </w:p>
  </w:footnote>
  <w:footnote w:id="1">
    <w:p w:rsidR="00EF3B83" w:rsidRDefault="00361BA3" w:rsidP="00CC7C20">
      <w:pPr>
        <w:pStyle w:val="FootnoteText"/>
        <w:bidi/>
        <w:jc w:val="both"/>
        <w:rPr>
          <w:rFonts w:cs="B Lotus"/>
          <w:b/>
          <w:bCs/>
          <w:sz w:val="28"/>
          <w:szCs w:val="28"/>
        </w:rPr>
      </w:pPr>
      <w:r w:rsidRPr="00CC7C20">
        <w:rPr>
          <w:rStyle w:val="FootnoteReference"/>
          <w:rFonts w:cs="B Lotus"/>
          <w:b/>
          <w:bCs/>
          <w:sz w:val="28"/>
          <w:szCs w:val="28"/>
        </w:rPr>
        <w:footnoteRef/>
      </w:r>
      <w:r w:rsidRPr="00CC7C20">
        <w:rPr>
          <w:rFonts w:cs="B Lotus"/>
          <w:b/>
          <w:bCs/>
          <w:sz w:val="28"/>
          <w:szCs w:val="28"/>
        </w:rPr>
        <w:t xml:space="preserve"> </w:t>
      </w:r>
      <w:r w:rsidR="00CC7C20" w:rsidRPr="00CC7C20">
        <w:rPr>
          <w:rFonts w:cs="B Lotus" w:hint="cs"/>
          <w:b/>
          <w:bCs/>
          <w:sz w:val="28"/>
          <w:szCs w:val="28"/>
          <w:rtl/>
        </w:rPr>
        <w:t xml:space="preserve"> استاديار دانشگاه هنر تهران ، استان تهران ، شهر تهران</w:t>
      </w:r>
    </w:p>
    <w:p w:rsidR="00361BA3" w:rsidRPr="00CC7C20" w:rsidRDefault="00EF3B83" w:rsidP="00EF3B83">
      <w:pPr>
        <w:pStyle w:val="FootnoteText"/>
        <w:bidi/>
        <w:jc w:val="both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/>
          <w:b/>
          <w:bCs/>
          <w:sz w:val="28"/>
          <w:szCs w:val="28"/>
        </w:rPr>
        <w:t>email: moridi.mr@gmail.com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3F"/>
    <w:rsid w:val="00063A1E"/>
    <w:rsid w:val="00361BA3"/>
    <w:rsid w:val="009A5B7E"/>
    <w:rsid w:val="00B56A3F"/>
    <w:rsid w:val="00CC7C20"/>
    <w:rsid w:val="00ED34E1"/>
    <w:rsid w:val="00E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3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61B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1BA3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1BA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B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BA3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1B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3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61B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1BA3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1BA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B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BA3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1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4F3F-2DBE-4180-9613-49FE6D58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Hadmin</dc:creator>
  <cp:lastModifiedBy>Hadmin</cp:lastModifiedBy>
  <cp:revision>1</cp:revision>
  <dcterms:created xsi:type="dcterms:W3CDTF">2014-07-08T06:20:00Z</dcterms:created>
  <dcterms:modified xsi:type="dcterms:W3CDTF">2014-07-08T06:26:00Z</dcterms:modified>
</cp:coreProperties>
</file>